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66" w:rsidRDefault="008D28AE" w:rsidP="008D28AE">
      <w:pPr>
        <w:spacing w:after="0" w:line="240" w:lineRule="auto"/>
        <w:ind w:firstLine="567"/>
      </w:pPr>
      <w:r w:rsidRPr="008D28AE">
        <w:t>https://legalacts.ru/doc/pismo-minobrnauki-rossii-ot-28022014-n-08-249/</w:t>
      </w:r>
    </w:p>
    <w:p w:rsidR="008D28AE" w:rsidRPr="008D28AE" w:rsidRDefault="008D28AE" w:rsidP="008D28AE">
      <w:pPr>
        <w:spacing w:after="0" w:line="240" w:lineRule="auto"/>
        <w:ind w:firstLine="567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8D28AE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&lt;Письмо&gt; Минобрнауки России от 28.02.2014 N 08-249 "Комментарии к ФГОС дошкольного образования"</w:t>
      </w:r>
    </w:p>
    <w:p w:rsidR="008D28AE" w:rsidRPr="008D28AE" w:rsidRDefault="008D28AE" w:rsidP="008D28AE">
      <w:pPr>
        <w:spacing w:after="0" w:line="240" w:lineRule="auto"/>
        <w:ind w:firstLine="567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1"/>
      <w:bookmarkEnd w:id="0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8D28AE" w:rsidRPr="008D28AE" w:rsidRDefault="008D28AE" w:rsidP="008D28AE">
      <w:pPr>
        <w:spacing w:after="0" w:line="240" w:lineRule="auto"/>
        <w:ind w:firstLine="567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ДЕПАРТАМЕНТ ОБЩЕГО ОБРАЗОВАНИЯ</w:t>
      </w:r>
    </w:p>
    <w:p w:rsidR="008D28AE" w:rsidRPr="008D28AE" w:rsidRDefault="008D28AE" w:rsidP="008D28AE">
      <w:pPr>
        <w:spacing w:after="0" w:line="240" w:lineRule="auto"/>
        <w:ind w:firstLine="567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ПИСЬМО</w:t>
      </w:r>
    </w:p>
    <w:p w:rsidR="008D28AE" w:rsidRPr="008D28AE" w:rsidRDefault="008D28AE" w:rsidP="008D28AE">
      <w:pPr>
        <w:spacing w:after="0" w:line="240" w:lineRule="auto"/>
        <w:ind w:firstLine="567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28 февраля 2014 г. N 08-249</w:t>
      </w:r>
    </w:p>
    <w:p w:rsidR="008D28AE" w:rsidRPr="008D28AE" w:rsidRDefault="008D28AE" w:rsidP="008D28AE">
      <w:pPr>
        <w:spacing w:after="0" w:line="240" w:lineRule="auto"/>
        <w:ind w:firstLine="567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КОММЕНТАРИИ К ФГОС ДОШКОЛЬНОГО ОБРАЗОВАНИЯ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proofErr w:type="gram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 исполнение </w:t>
      </w:r>
      <w:hyperlink r:id="rId5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 1.3 раздела I</w:t>
        </w:r>
      </w:hyperlink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(</w:t>
      </w:r>
      <w:proofErr w:type="spell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утвержденного</w:t>
      </w:r>
      <w:proofErr w:type="spell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Первым заместителем Министра образования и науки Российской Федерации Н.В. Третьяк 31 декабря 2013 г.) Департамент государственной политики в сфере общего образования Минобрнауки России направляет </w:t>
      </w:r>
      <w:hyperlink r:id="rId6" w:anchor="100009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комментарии</w:t>
        </w:r>
      </w:hyperlink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 отдельным вопросам введения федерального государственного образовательного </w:t>
      </w:r>
      <w:hyperlink r:id="rId7" w:anchor="100014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стандарта</w:t>
        </w:r>
      </w:hyperlink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дошкольного образования</w:t>
      </w:r>
      <w:proofErr w:type="gram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утвержденного</w:t>
      </w:r>
      <w:proofErr w:type="spell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приказом Минобрнауки России от 17 октября 2013 г. N 1155 (зарегистрирован в Минюсте России 14 ноября 2013 г. N 30384).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Настоящие </w:t>
      </w:r>
      <w:hyperlink r:id="rId8" w:anchor="100009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комментарии</w:t>
        </w:r>
      </w:hyperlink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были разработаны ФГАУ "Федеральный институт развития образования" на основе вопросов, возникающих у руководителей и специалистов органов государственной власти субъектов Российской Федерации, осуществляющих государственное управление в сфере образования, руководителей образовательных организаций, реализующих образовательные программы дошкольного образования и практических работников дошкольного образования.</w:t>
      </w:r>
    </w:p>
    <w:p w:rsidR="008D28AE" w:rsidRPr="008D28AE" w:rsidRDefault="008D28AE" w:rsidP="008D28AE">
      <w:pPr>
        <w:spacing w:after="0" w:line="240" w:lineRule="auto"/>
        <w:ind w:firstLine="567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Заместитель директора Департамента</w:t>
      </w:r>
    </w:p>
    <w:p w:rsidR="008D28AE" w:rsidRPr="008D28AE" w:rsidRDefault="008D28AE" w:rsidP="008D28AE">
      <w:pPr>
        <w:spacing w:after="0" w:line="240" w:lineRule="auto"/>
        <w:ind w:firstLine="567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Ю.В.СМИРНОВА</w:t>
      </w:r>
    </w:p>
    <w:p w:rsidR="008D28AE" w:rsidRPr="008D28AE" w:rsidRDefault="008D28AE" w:rsidP="008D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D28AE" w:rsidRPr="008D28AE" w:rsidRDefault="008D28AE" w:rsidP="008D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D28AE" w:rsidRPr="008D28AE" w:rsidRDefault="008D28AE" w:rsidP="008D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D28AE" w:rsidRPr="008D28AE" w:rsidRDefault="008D28AE" w:rsidP="008D28AE">
      <w:pPr>
        <w:spacing w:after="0" w:line="240" w:lineRule="auto"/>
        <w:ind w:firstLine="567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8D28AE" w:rsidRPr="008D28AE" w:rsidRDefault="008D28AE" w:rsidP="008D28AE">
      <w:pPr>
        <w:spacing w:after="0" w:line="240" w:lineRule="auto"/>
        <w:ind w:firstLine="567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КОММЕНТАРИИ</w:t>
      </w:r>
    </w:p>
    <w:p w:rsidR="008D28AE" w:rsidRPr="008D28AE" w:rsidRDefault="008D28AE" w:rsidP="008D28AE">
      <w:pPr>
        <w:spacing w:after="0" w:line="240" w:lineRule="auto"/>
        <w:ind w:firstLine="567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ФЕДЕРАЛЬНОМУ ГОСУДАРСТВЕННОМУ ОБРАЗОВАТЕЛЬНОМУ СТАНДАРТУ</w:t>
      </w:r>
    </w:p>
    <w:p w:rsidR="008D28AE" w:rsidRPr="008D28AE" w:rsidRDefault="008D28AE" w:rsidP="008D28AE">
      <w:pPr>
        <w:spacing w:after="0" w:line="240" w:lineRule="auto"/>
        <w:ind w:firstLine="567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ДОШКОЛЬНОГО ОБРАЗОВАНИЯ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0"/>
      <w:bookmarkEnd w:id="9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Комментарии к </w:t>
      </w:r>
      <w:hyperlink r:id="rId9" w:anchor="100030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разделу I пункта 1.3 подпункта 2</w:t>
        </w:r>
      </w:hyperlink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1"/>
      <w:bookmarkEnd w:id="10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данном </w:t>
      </w:r>
      <w:hyperlink r:id="rId10" w:anchor="100030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</w:t>
        </w:r>
      </w:hyperlink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Федерального государственного образовательного стандарта дошкольного образования (далее - ФГОС </w:t>
      </w:r>
      <w:proofErr w:type="gram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</w:t>
      </w:r>
      <w:proofErr w:type="gram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proofErr w:type="gram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Стандарт</w:t>
      </w:r>
      <w:proofErr w:type="gram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) содержится указание на разные возрастные возможности детей при разработке и реализации образовательной программы (далее - Программа) в организации, осуществляющей образовательную деятельность (далее - Организация). На практике чаще всего (в условиях организации одновозрастных групп) Программа формируется для детей разного возраста, с разбивкой на этапы освоения: начальный - для детей раннего (младенческого) возраста, завершающий - старшего дошкольного возраста. Разнообразие возрастных возможностей детей требует создания разных условий, что учитывается требованиями Стандарта. В то же время, данная норма фиксирует приоритет индивидуальных возможностей и интересов ребенка перед содержанием Программы на том или ином этапе </w:t>
      </w:r>
      <w:proofErr w:type="spell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ее</w:t>
      </w:r>
      <w:proofErr w:type="spell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освоения в группе детей, например, при появлении ребенка в группе детского сада в середине/конце освоения Программы группой. В этом случае педагоги должны ориентироваться на интересы, возможности и склонности ребенка, а не на содержание текущего этапа Программы.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2"/>
      <w:bookmarkEnd w:id="11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Комментарии к </w:t>
      </w:r>
      <w:hyperlink r:id="rId11" w:anchor="100071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разделу II пункта 2.2</w:t>
        </w:r>
      </w:hyperlink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3"/>
      <w:bookmarkEnd w:id="12"/>
      <w:proofErr w:type="gram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 данным </w:t>
      </w:r>
      <w:hyperlink r:id="rId12" w:anchor="100071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</w:t>
        </w:r>
      </w:hyperlink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Стандарта, а также с </w:t>
      </w:r>
      <w:hyperlink r:id="rId13" w:anchor="100041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13</w:t>
        </w:r>
      </w:hyperlink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Минобрнауки России от 30 августа 2013 г. N 1014) группы различной направленности (общеразвивающей, компенсирующей, оздоровительной или комбинированной), являющиеся структурными подразделениями дошкольной образовательной организации (далее - ДОО) и ведущие </w:t>
      </w:r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образовательную деятельность, могут реализовывать разные образовательные программы</w:t>
      </w:r>
      <w:proofErr w:type="gram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соответствии с требованиями ФГОС ДО и с учетом примерных основных образовательных программ дошкольного образования.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 </w:t>
      </w:r>
      <w:hyperlink r:id="rId14" w:anchor="100022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 9 статьи 2</w:t>
        </w:r>
      </w:hyperlink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Федерального закона "Об образовании в Российской Федерации" от 29 декабря 2012 г. N 273-ФЗ (далее - Закон). При этом</w:t>
      </w:r>
      <w:proofErr w:type="gram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</w:t>
      </w:r>
      <w:proofErr w:type="gram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если образовательная программа для отдельной группы ДОО разрабатывается с использованием примерной основной образовательной программы, обязательная часть образовательной программы группы в соответствии с </w:t>
      </w:r>
      <w:hyperlink r:id="rId15" w:anchor="100137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2.12</w:t>
        </w:r>
      </w:hyperlink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ФГОС ДО может быть оформлена в виде ссылки на соответствующую примерную основную образовательную программу. </w:t>
      </w:r>
      <w:proofErr w:type="gram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Часть программы, формируемая участниками образовательных отношений, в соответствии с </w:t>
      </w:r>
      <w:hyperlink r:id="rId16" w:anchor="100137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2.12</w:t>
        </w:r>
      </w:hyperlink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ФГОС ДО также может быть оформлена в виде ссылки на соответствующую методическую литературу, представляющую парциальные программы и/или методические разработки, используемые группой при реализации этой части программы.</w:t>
      </w:r>
      <w:proofErr w:type="gramEnd"/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4"/>
      <w:bookmarkEnd w:id="13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Если образовательная программа группы разрабатывается исключительно на основании требований ФГОС ДО без </w:t>
      </w:r>
      <w:proofErr w:type="spell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учета</w:t>
      </w:r>
      <w:proofErr w:type="spell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примерной (примерных) программ, то обязательная часть и часть, формируемая участниками образовательного процесса, разрабатываются в соответствии с требованиями </w:t>
      </w:r>
      <w:hyperlink r:id="rId17" w:anchor="100107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 2.11</w:t>
        </w:r>
      </w:hyperlink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ФГОС </w:t>
      </w:r>
      <w:proofErr w:type="gram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</w:t>
      </w:r>
      <w:proofErr w:type="gram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5"/>
      <w:bookmarkEnd w:id="14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Комментарии к </w:t>
      </w:r>
      <w:hyperlink r:id="rId18" w:anchor="100076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разделу II пункта 2.5</w:t>
        </w:r>
      </w:hyperlink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6"/>
      <w:bookmarkEnd w:id="15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Данная </w:t>
      </w:r>
      <w:hyperlink r:id="rId19" w:anchor="100076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норма</w:t>
        </w:r>
      </w:hyperlink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предполагает, что при разработке образовательной программы (программ) конкретной Организации могут использоваться примерные основные образовательные программы дошкольного образования, входящие в реестр примерных основных образовательных программ (</w:t>
      </w:r>
      <w:hyperlink r:id="rId20" w:anchor="100214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12</w:t>
        </w:r>
      </w:hyperlink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Закона). Организация (группа) может разрабатывать программы самостоятельно, не опираясь на какую (какие</w:t>
      </w:r>
      <w:proofErr w:type="gram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)-</w:t>
      </w:r>
      <w:proofErr w:type="gram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либо примерные программы. </w:t>
      </w:r>
      <w:proofErr w:type="spell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Употребленный</w:t>
      </w:r>
      <w:proofErr w:type="spell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данном </w:t>
      </w:r>
      <w:hyperlink r:id="rId21" w:anchor="100076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</w:t>
        </w:r>
      </w:hyperlink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а также в </w:t>
      </w:r>
      <w:hyperlink r:id="rId22" w:anchor="100227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Законе</w:t>
        </w:r>
      </w:hyperlink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термин "с учетом" означает право и предоставленную Организации возможность ознакомиться с существующими примерными программами,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(программ) ДОО.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7"/>
      <w:bookmarkEnd w:id="16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Выбор режима работы дошкольной группы осуществляется Организацией самостоятельно (с учетом </w:t>
      </w:r>
      <w:proofErr w:type="spell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объема</w:t>
      </w:r>
      <w:proofErr w:type="spell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решаемых задач, мнений участников образовательных отношений). Таким </w:t>
      </w:r>
      <w:proofErr w:type="gram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образом</w:t>
      </w:r>
      <w:proofErr w:type="gram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обеспечивается соответствие организационных особенностей реализации Программы </w:t>
      </w:r>
      <w:proofErr w:type="spell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ее</w:t>
      </w:r>
      <w:proofErr w:type="spell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содержанию. Для обеспечения бюджетного финансирования всего времени работы педагогического и учебно-вспомогательного персонала в группе продолжительность реализации Программы в сутки должна соответствовать выбранному режиму работы группы, что должно быть отражено в Программе. При функционировании в Организации групп с несколькими различными режимами пребывания детей Программа должна учитывать возможность </w:t>
      </w:r>
      <w:proofErr w:type="spell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ее</w:t>
      </w:r>
      <w:proofErr w:type="spell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реализации в соответствующих группах, либо для каждого режима должны быть разработаны соответствующие программы (при этом различия этих программ могут быть незначительны). Право реализации нескольких основных общеобразовательных программ закреплено </w:t>
      </w:r>
      <w:proofErr w:type="spell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"https://legalacts.ru/doc/273_FZ-ob-obrazovanii/glava-2/statja-12/" \l "100214" </w:instrText>
      </w:r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8D28AE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статьей</w:t>
      </w:r>
      <w:proofErr w:type="spellEnd"/>
      <w:r w:rsidRPr="008D28AE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 xml:space="preserve"> 12</w:t>
      </w:r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Закона. Программа может соответствовать любому режиму работы группы, не превышающему 14 часов в сутки. В случае</w:t>
      </w:r>
      <w:proofErr w:type="gram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</w:t>
      </w:r>
      <w:proofErr w:type="gram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если режим работы группы превышает 14 часов в сутки, Программа реализуется не более 14 часов от всего времени пребывания детей.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8"/>
      <w:bookmarkEnd w:id="17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Реализация программы не подразумевает ограничений на оказание дополнительных платных образовательных услуг воспитанникам. </w:t>
      </w:r>
      <w:proofErr w:type="gram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Получение воспитанниками таких услуг должно регламентироваться договорами (в соответствии с </w:t>
      </w:r>
      <w:proofErr w:type="spell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утвержденной</w:t>
      </w:r>
      <w:proofErr w:type="spell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примерной формой договора об образовании по образовательным программам дошкольного образования, </w:t>
      </w:r>
      <w:hyperlink r:id="rId23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Минобрнауки России от 13 января 2014 г. N 8 (направлен в Минюст России на государственную регистрацию).</w:t>
      </w:r>
      <w:proofErr w:type="gram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случае если Программа реализуется в течение всего времени пребывания детей в Организации (продолжительность работы группы соответствует продолжительности реализации Программы)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группе. Поскольку дошкольное образование не является обязательным, родители (законные представители) воспитанника используют </w:t>
      </w:r>
      <w:proofErr w:type="spell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свое</w:t>
      </w:r>
      <w:proofErr w:type="spell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право на выбор формы получения ребенком образования и Организации, осуществляющей образовательную деятельность. При этом, в случае если хотя бы один ребенок фактически </w:t>
      </w:r>
      <w:proofErr w:type="spell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остается</w:t>
      </w:r>
      <w:proofErr w:type="spell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группе, реализация Программы в ней не прекращается, прерывается лишь получение образования воспитанником, получающим </w:t>
      </w:r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дополнительную услугу. Поскольку дополнительное образование детей также является важным элементом развития детей, и ограничение их в его получении неконституционно, Организация не может повлиять на решение родителей о порядке посещения ребенком дошкольной группы. Независимо от количества детей в группе для обеспечения реализации Программы требуется </w:t>
      </w:r>
      <w:proofErr w:type="gram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создать</w:t>
      </w:r>
      <w:proofErr w:type="gram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том числе необходимые кадровые условия. При этом финансовое обеспечение кадровых условий определяется в зависимости от нормативного количества детей в группе. Следовательно,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финансирования. Также, фактическое финансирование реализации Программы через обеспечение создания требуемых условий означает, что временное отсутствие ребенка в группе, не влияющее на изменение условий реализации Программы, не должно рассматриваться как нецелевое использование бюджетных средств. В то же время,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Организации.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9"/>
      <w:bookmarkEnd w:id="18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Комментарии к </w:t>
      </w:r>
      <w:hyperlink r:id="rId24" w:anchor="100094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разделу II пункта 2.7 (первый абзац)</w:t>
        </w:r>
      </w:hyperlink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0"/>
      <w:bookmarkEnd w:id="19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Указанная </w:t>
      </w:r>
      <w:hyperlink r:id="rId25" w:anchor="100094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норма</w:t>
        </w:r>
      </w:hyperlink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означает, что содержание образовательной программы (программ) ДОО не должно быть заранее расписано по конкретным образовательным областям, поскольку оно определяется конкретной ситуацией в группе, а именно: индивидуальными склонностями детей, их интересами, особенностями развития. Педагоги, работающие по программам, ориентированным на ребенка, обычно формируют содержание по ходу образовательной деятельности, решая задачи развития детей в зависимости от сложившейся образовательной ситуации, опираясь на интересы отдельного ребенка или группы детей. Это означает, что конкретное содержание образовательной программы </w:t>
      </w:r>
      <w:proofErr w:type="gram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выполняет роль</w:t>
      </w:r>
      <w:proofErr w:type="gram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средства развития, подбирается по мере постановки и решения развивающих задач и не всегда может быть задано заранее. Кроме того, на практике конкретное содержание образовательной деятельности обычно обеспечивает развитие детей одновременно в разных областях - например, в области социально-коммуникативного, познавательного и речевого развития, или социально-коммуникативного, художественно эстетического и физического развития и т.д. Таким образом, </w:t>
      </w:r>
      <w:proofErr w:type="spell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определенная</w:t>
      </w:r>
      <w:proofErr w:type="spell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областях.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1"/>
      <w:bookmarkEnd w:id="20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 то же время, существуют примерные программы, которые подробно расписывают </w:t>
      </w:r>
      <w:proofErr w:type="spell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определенное</w:t>
      </w:r>
      <w:proofErr w:type="spell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образовательное содержание. Если Организация принимает за основу своей Программы такую примерную программу, следует сделать ссылку именно на эту Программу.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2"/>
      <w:bookmarkEnd w:id="21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Комментарии к </w:t>
      </w:r>
      <w:hyperlink r:id="rId26" w:anchor="100104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разделу II пункта 2.9 (второй абзац)</w:t>
        </w:r>
      </w:hyperlink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3"/>
      <w:bookmarkEnd w:id="22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Данная </w:t>
      </w:r>
      <w:hyperlink r:id="rId27" w:anchor="100104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</w:t>
        </w:r>
      </w:hyperlink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ФГОС </w:t>
      </w:r>
      <w:proofErr w:type="gram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</w:t>
      </w:r>
      <w:proofErr w:type="gram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подчеркивает</w:t>
      </w:r>
      <w:proofErr w:type="spell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взаимодополняющий</w:t>
      </w:r>
      <w:proofErr w:type="gram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характер детского развития в пяти образовательных областях.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4"/>
      <w:bookmarkEnd w:id="23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Комментарии к </w:t>
      </w:r>
      <w:hyperlink r:id="rId28" w:anchor="100106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разделу II пункта 2.10</w:t>
        </w:r>
      </w:hyperlink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5"/>
      <w:bookmarkEnd w:id="24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Соотношение частей образовательной программы носит рекомендательный характер и призвано примерно </w:t>
      </w:r>
      <w:proofErr w:type="gram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оценить</w:t>
      </w:r>
      <w:proofErr w:type="gram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пропорцию между обязательной частью программы и частью, формируемой участниками образовательных отношений. Надо иметь в виду, что необязательный характер уровня дошкольного образования не позволяет устанавливать </w:t>
      </w:r>
      <w:proofErr w:type="spell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жесткое</w:t>
      </w:r>
      <w:proofErr w:type="spell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соотношение частей программы ДОО.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возраста, предполагающей организацию образовательной деятельности в зависимости от индивидуальных особенностей каждого ребенка, что затрудняет строгое определение </w:t>
      </w:r>
      <w:proofErr w:type="spell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объема</w:t>
      </w:r>
      <w:proofErr w:type="spell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обязательной части программы в ДОО.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6"/>
      <w:bookmarkEnd w:id="25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Комментарии к </w:t>
      </w:r>
      <w:hyperlink r:id="rId29" w:anchor="100145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разделу III пункта 3.1</w:t>
        </w:r>
      </w:hyperlink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7"/>
      <w:bookmarkEnd w:id="26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данном </w:t>
      </w:r>
      <w:hyperlink r:id="rId30" w:anchor="100145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</w:t>
        </w:r>
      </w:hyperlink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употребляются два сходных термина, которые, тем не менее, относятся к разному содержанию и которые следует различать: "развивающая предметно-пространственная среда" и "образовательная среда".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8"/>
      <w:bookmarkEnd w:id="27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Развивающая предметно-пространственная среда - это специфические для каждой Программы Организации (группы) образовательное оборудование, материалы, мебель и т.п., в сочетании с </w:t>
      </w:r>
      <w:proofErr w:type="spell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определенными</w:t>
      </w:r>
      <w:proofErr w:type="spell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принципами разделения пространства Организации (группы).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9"/>
      <w:bookmarkEnd w:id="28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Под образовательной средой подразумевается весь комплекс условий, которые обеспечивают развитие детей в дошкольной образовательной организации, в том числе развивающая предметно-пространственная среда, взаимодействие между педагогами и детьми, </w:t>
      </w:r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детская игра, развивающее предметное содержание образовательных областей и другие условия, перечисленные в Стандарте.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0"/>
      <w:bookmarkEnd w:id="29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Комментарии к </w:t>
      </w:r>
      <w:hyperlink r:id="rId31" w:anchor="100166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разделу III пункта 3.2.2</w:t>
        </w:r>
      </w:hyperlink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 к </w:t>
      </w:r>
      <w:hyperlink r:id="rId32" w:anchor="100241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3.4.4</w:t>
        </w:r>
      </w:hyperlink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1"/>
      <w:bookmarkEnd w:id="30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33" w:anchor="101040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3 статьи 79</w:t>
        </w:r>
      </w:hyperlink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Закона под специальными условиями для получения </w:t>
      </w:r>
      <w:proofErr w:type="gram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образования</w:t>
      </w:r>
      <w:proofErr w:type="gram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</w:t>
      </w:r>
      <w:proofErr w:type="gram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необходимую техническую помощь, проведение групповых и индивидуальных коррекционных занятий, обеспечение доступа в здания Организаций и другие условия, без которых невозможно или затруднено освоение Программ обучающимися с ограниченными возможностями здоровья.</w:t>
      </w:r>
      <w:proofErr w:type="gramEnd"/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2"/>
      <w:bookmarkEnd w:id="31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 Федеральным </w:t>
      </w:r>
      <w:hyperlink r:id="rId34" w:anchor="100088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от 24 ноября 1995 г. N 181-ФЗ "О социальной защите инвалидов в Российской Федерации" (далее - Федеральный закон N 181-ФЗ) специальные условия должны быть внесены в индивидуальную программу реабилитации инвалида (далее - ИПР). ИПР является обязательной для исполнения всеми без исключения органами и организациями. Порядок разработки индивидуальной программы реабилитации инвалида </w:t>
      </w:r>
      <w:proofErr w:type="spell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</w:t>
      </w:r>
      <w:proofErr w:type="spell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приказом Министерства здравоохранения и социального развития Российской Федерации от 4 августа 2008 г. N 379н.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3"/>
      <w:bookmarkEnd w:id="32"/>
      <w:proofErr w:type="gram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Объем и содержание услуг ассистента (помощника), оказывающего обучающимся необходимую техническую помощь, определяются Индивидуальной программой реабилитации инвалида (перечень реабилитационных мероприятий, направленных на восстановление способностей инвалида к бытовой, общественной, профессиональной деятельности в соответствии со структурой его потребностей, кругом интересов и уровнем притязаний (Постановление Министерства труда и социального развития Российской Федерации от 14 декабря 1996 г. N 14).</w:t>
      </w:r>
      <w:proofErr w:type="gramEnd"/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4"/>
      <w:bookmarkEnd w:id="33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Комментарии к </w:t>
      </w:r>
      <w:hyperlink r:id="rId35" w:anchor="100167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разделу III пункта 3.2.3</w:t>
        </w:r>
      </w:hyperlink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5"/>
      <w:bookmarkEnd w:id="34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Оценка индивидуального развития детей представлена в Стандарте в двух формах диагностики - педагогической и психологической. Под педагогической диагностикой понимается такая оценка развития детей, которая необходима педагогу, непосредственно работающему с детьми, для получения "обратной связи" в процессе взаимодействия с ребенком или с группой детей. При этом согласно данной </w:t>
      </w:r>
      <w:proofErr w:type="spell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"https://legalacts.ru/doc/prikaz-minobrnauki-rossii-ot-17102013-n-1155/" \l "100167" </w:instrText>
      </w:r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8D28AE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статье</w:t>
      </w:r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Стандарта</w:t>
      </w:r>
      <w:proofErr w:type="spell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такая оценка индивидуального развития детей, прежде всего, является профессиональным инструментом педагога,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Программы.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6"/>
      <w:bookmarkEnd w:id="35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 </w:t>
      </w:r>
      <w:hyperlink r:id="rId36" w:anchor="100167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</w:t>
        </w:r>
      </w:hyperlink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предусмотрены задачи, для решения которых могут использоваться результаты педагогической диагностики: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7"/>
      <w:bookmarkEnd w:id="36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индивидуализация образования, которая может предполагать поддержку ребенка, построение его образовательной траектории или коррекцию его развития в рамках профессиональной компетенции педагога;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8"/>
      <w:bookmarkEnd w:id="37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оптимизация работы с группой детей.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39"/>
      <w:bookmarkEnd w:id="38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</w:t>
      </w:r>
      <w:proofErr w:type="spell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ее</w:t>
      </w:r>
      <w:proofErr w:type="spell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самостоятельно. Данные, полученные в результате такой оценки, также являются профессиональными материалами самого педагога и не подлежат проверке в процессе контроля и надзора. Та или иная степень обязательности проведения педагогом педагогической диагностики определяется Программой. При этом проведение педагогической диагностики не может быть вменено в обязанность педагогу, если не созданы условия для </w:t>
      </w:r>
      <w:proofErr w:type="spell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ее</w:t>
      </w:r>
      <w:proofErr w:type="spell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проведения, включая обеспечение специального обучения. Контроль за эффективностью деятельности педагога, которая, в том числе, может включать педагогическую оценку, может проводиться в процессе независимой оценки качества образования в Организации (</w:t>
      </w:r>
      <w:hyperlink r:id="rId37" w:anchor="100060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 4 пункта 1.7</w:t>
        </w:r>
      </w:hyperlink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ФГОС </w:t>
      </w:r>
      <w:proofErr w:type="gram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</w:t>
      </w:r>
      <w:proofErr w:type="gram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 </w:t>
      </w:r>
      <w:hyperlink r:id="rId38" w:anchor="101300" w:history="1">
        <w:proofErr w:type="gramStart"/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</w:t>
        </w:r>
        <w:proofErr w:type="gramEnd"/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95</w:t>
        </w:r>
      </w:hyperlink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Закона).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0"/>
      <w:bookmarkEnd w:id="39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Психологическую диагностику индивидуального развития ребенка проводят по мере необходимости квалифицированные специалисты - психологи и/или педагоги-психологи. </w:t>
      </w:r>
      <w:proofErr w:type="spell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Ее</w:t>
      </w:r>
      <w:proofErr w:type="spell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результаты используются для квалифицированной коррекции развития детей или для решения задач психологического сопровождения развития ребенка (группы детей).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1"/>
      <w:bookmarkEnd w:id="40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Для участия ребенка в психологической диагностике в обязательном порядке требуется согласие его родителей (законных представителей). Если Организация является экспериментальной площадкой (участником) относительно длительной исследовательской программы, этот факт должен быть </w:t>
      </w:r>
      <w:proofErr w:type="spell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отражен</w:t>
      </w:r>
      <w:proofErr w:type="spell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Договоре между Организацией и родителями (законными представителями) ребенка с целью получения их информированного согласия на постоянное исследование развития ребенка.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2"/>
      <w:bookmarkEnd w:id="41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 соответствии с Положением о психолого-медико-педагогической комиссии, </w:t>
      </w:r>
      <w:proofErr w:type="spell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утвержденным</w:t>
      </w:r>
      <w:proofErr w:type="spell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приказом Минобрнауки России от 20 сентября 2013 г. N 1082, ребенку с ограниченными возможностями здоровья необходимо пройти обследование на заседании психолого-медико-педагогической комиссии (далее - ПМПК) и получить рекомендации.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3"/>
      <w:bookmarkEnd w:id="42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 пунктом 10 вышеуказанного Положения основными направлениями деятельности комиссии являются: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4"/>
      <w:bookmarkEnd w:id="43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5"/>
      <w:bookmarkEnd w:id="44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6"/>
      <w:bookmarkEnd w:id="45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7"/>
      <w:bookmarkEnd w:id="46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г) оказание федеральным учреждениям </w:t>
      </w:r>
      <w:proofErr w:type="gram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медико-социальной</w:t>
      </w:r>
      <w:proofErr w:type="gram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 содействия в разработке индивидуальной программы реабилитации ребенка-инвалида;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8"/>
      <w:bookmarkEnd w:id="47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д) осуществление </w:t>
      </w:r>
      <w:proofErr w:type="spell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учета</w:t>
      </w:r>
      <w:proofErr w:type="spell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49"/>
      <w:bookmarkEnd w:id="48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50"/>
      <w:bookmarkEnd w:id="49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</w:t>
      </w:r>
      <w:proofErr w:type="gram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 даты</w:t>
      </w:r>
      <w:proofErr w:type="gram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его подписания.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51"/>
      <w:bookmarkEnd w:id="50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Педагогическая оценка индивидуального развития ребенка направлена, прежде всего, на определение наличия условий для развития ребенка в соответствии с его возрастными особенностями, возможностями и индивидуальными склонностями. В отличие от заключения психолого-медико-педагогической комиссии (далее - ПМПК), она не призвана выявлять особенности в физическом и (или) психическом развитии и (или) отклонений в поведении детей.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52"/>
      <w:bookmarkEnd w:id="51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Комментарии к </w:t>
      </w:r>
      <w:hyperlink r:id="rId39" w:anchor="100174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разделу III пункта 3.2.4</w:t>
        </w:r>
      </w:hyperlink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53"/>
      <w:bookmarkEnd w:id="52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Предельная наполняемость Группы (включающей, в том числе, детей с ограниченными возможностями здоровья) определяется в соответствии с санитарно-эпидемиологическими правилами и нормативами.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54"/>
      <w:bookmarkEnd w:id="53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40" w:anchor="100045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организаций":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55"/>
      <w:bookmarkEnd w:id="54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1.11. Рекомендуемое количество детей в группах компенсирующей направленности для детей до 3 лет и старше 3 лет соответственно не должно превышать: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56"/>
      <w:bookmarkEnd w:id="55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- для детей с </w:t>
      </w:r>
      <w:proofErr w:type="spell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тяжелыми</w:t>
      </w:r>
      <w:proofErr w:type="spell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нарушениями речи - 6 и 10 детей;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57"/>
      <w:bookmarkEnd w:id="56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58"/>
      <w:bookmarkEnd w:id="57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для глухих детей - 6 детей для обеих возрастных групп;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59"/>
      <w:bookmarkEnd w:id="58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для слабослышащих детей - 6 и 8 детей;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60"/>
      <w:bookmarkEnd w:id="59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- для слепых детей - 6 детей для обеих возрастных групп;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61"/>
      <w:bookmarkEnd w:id="60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- для слабовидящих детей, для детей с </w:t>
      </w:r>
      <w:proofErr w:type="spell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амблиопией</w:t>
      </w:r>
      <w:proofErr w:type="spell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косоглазием - 6 и 10 детей;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62"/>
      <w:bookmarkEnd w:id="61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для детей с нарушениями опорно-двигательного аппарата - 6 и 8 детей;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63"/>
      <w:bookmarkEnd w:id="62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для детей с задержкой психического развития - 6 и 10 детей;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64"/>
      <w:bookmarkEnd w:id="63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- для детей с умственной отсталостью </w:t>
      </w:r>
      <w:proofErr w:type="spell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легкой</w:t>
      </w:r>
      <w:proofErr w:type="spell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степени - 6 и 10 детей;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65"/>
      <w:bookmarkEnd w:id="64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- для детей с умственной отсталостью умеренной, </w:t>
      </w:r>
      <w:proofErr w:type="spell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тяжелой</w:t>
      </w:r>
      <w:proofErr w:type="spell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возрасте старше 3 лет - 8 детей;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66"/>
      <w:bookmarkEnd w:id="65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для детей с аутизмом только в возрасте старше 3 лет - 5 детей;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67"/>
      <w:bookmarkEnd w:id="66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68"/>
      <w:bookmarkEnd w:id="67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69"/>
      <w:bookmarkEnd w:id="68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1.12. В дошкольных образовательных организациях организация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70"/>
      <w:bookmarkEnd w:id="69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Рекомендуемое количество детей в группах комбинированной направленности: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71"/>
      <w:bookmarkEnd w:id="70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72"/>
      <w:bookmarkEnd w:id="71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старше 3 лет: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73"/>
      <w:bookmarkEnd w:id="72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</w:t>
      </w:r>
      <w:proofErr w:type="spell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тяжелой</w:t>
      </w:r>
      <w:proofErr w:type="spell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или детей со сложным дефектом;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74"/>
      <w:bookmarkEnd w:id="73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- не более 15 детей, в том числе не более 4 слабовидящих и (или) детей с </w:t>
      </w:r>
      <w:proofErr w:type="spell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амблиопией</w:t>
      </w:r>
      <w:proofErr w:type="spell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(или) косоглазием, или слабослышащих детей, или детей, имеющих </w:t>
      </w:r>
      <w:proofErr w:type="spell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тяжелые</w:t>
      </w:r>
      <w:proofErr w:type="spell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нарушения речи, или детей с умственной отсталостью </w:t>
      </w:r>
      <w:proofErr w:type="spell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легкой</w:t>
      </w:r>
      <w:proofErr w:type="spell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степени;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75"/>
      <w:bookmarkEnd w:id="74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не более 17 детей, в том числе не более 5 детей с задержкой психического развития.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76"/>
      <w:bookmarkEnd w:id="75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Комментарии к </w:t>
      </w:r>
      <w:hyperlink r:id="rId41" w:anchor="100194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разделу III пункта 3.2.6 подпункта 1</w:t>
        </w:r>
      </w:hyperlink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77"/>
      <w:bookmarkEnd w:id="76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Полномочия по финансовому обеспечению создания в организации условий для дополнительного профессионального образования педагогических работников (</w:t>
      </w:r>
      <w:hyperlink r:id="rId42" w:anchor="101342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2 статьи 99</w:t>
        </w:r>
      </w:hyperlink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Закона) относятся к полномочиям субъектов Российской Федерации. Необходимые средства должны быть доведены до Организации (государственной, муниципальной или частной) в составе норматива затрат, либо заложены в смету </w:t>
      </w:r>
      <w:proofErr w:type="spell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казенного</w:t>
      </w:r>
      <w:proofErr w:type="spell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учреждения. При этом,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(в том числе, оплата замещения временно отсутствующего работника), так и для направления работников на обучение (оплата обучения, командировочные расходы).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78"/>
      <w:bookmarkEnd w:id="77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Комментарии к </w:t>
      </w:r>
      <w:hyperlink r:id="rId43" w:anchor="100197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разделу III пункта 3.2.7</w:t>
        </w:r>
      </w:hyperlink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79"/>
      <w:bookmarkEnd w:id="78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44" w:anchor="101038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1 статьи 79</w:t>
        </w:r>
      </w:hyperlink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Закона: "... содержание образования и условия организации обучения и </w:t>
      </w:r>
      <w:proofErr w:type="gram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воспитания</w:t>
      </w:r>
      <w:proofErr w:type="gram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обучающихся с ограниченными возможностями здоровья (далее - ОВЗ) определяются адаптированной образовательной программой, а для инвалидов также в соответствии с индивидуальной программой реабилитации инвалида". В связи с этим,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(отдельными документами) с учетом особенностей их психофизического развития и индивидуальных возможностей. Индивидуальную программу реабилитации разрабатывает Бюро </w:t>
      </w:r>
      <w:proofErr w:type="gram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медико-социальной</w:t>
      </w:r>
      <w:proofErr w:type="gram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экспертизы (в соответствии со </w:t>
      </w:r>
      <w:proofErr w:type="spell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"https://legalacts.ru/doc/federalnyi-zakon-ot-24111995-n-181-fz-o/" \l "100063" </w:instrText>
      </w:r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8D28AE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статьей</w:t>
      </w:r>
      <w:proofErr w:type="spellEnd"/>
      <w:r w:rsidRPr="008D28AE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 xml:space="preserve"> 7</w:t>
      </w:r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N 181-ФЗ). Условия должны быть созданы в соответствии с Рекомендациями ПМПК (приказ Минобрнауки России от 20 сентября 2013 г. N 1082 "Об утверждении Положения о психолого-медико-педагогической комиссии").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080"/>
      <w:bookmarkEnd w:id="79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Комментарии к </w:t>
      </w:r>
      <w:hyperlink r:id="rId45" w:anchor="100233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разделу III пункта 3.3.5</w:t>
        </w:r>
      </w:hyperlink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081"/>
      <w:bookmarkEnd w:id="80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46" w:anchor="100383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2 части 3 статьи 28</w:t>
        </w:r>
      </w:hyperlink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Закона к компетенции образовательной организации отнесено материально-техническое обеспечение образовательной деятельности, </w:t>
      </w:r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оборудование помещений в соответствии с государственными и местными нормами и требованиями, в том числе в соответствии со Стандартом. Таким образом, Организация самостоятельно утверждает перечень необходимых средств обучения, которые будут использоваться при реализации Программы. При этом средства обучения должны полностью соответствовать требованиям </w:t>
      </w:r>
      <w:hyperlink r:id="rId47" w:anchor="100212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 3.3.4</w:t>
        </w:r>
      </w:hyperlink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Стандарта. Для обеспечения возможности Организации осуществлять самостоятельную закупку необходимых средств обучения норматив затрат, в соответствии с которым определяется бюджетное финансирование организации, должны учитываться расходы на приобретение необходимых средств обучения (в соответствии с методическими рекомендациями, направленными письмом Минобрнауки России от 1 октября 2013 г. N 08-1408).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100082"/>
      <w:bookmarkEnd w:id="81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Комментарии к </w:t>
      </w:r>
      <w:hyperlink r:id="rId48" w:anchor="100235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разделу III пункта 3.4.1</w:t>
        </w:r>
      </w:hyperlink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100083"/>
      <w:bookmarkEnd w:id="82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 требованиями к кадровому обеспечению Стандарта деятельность руководящих работников, педагогических работников, учебно-вспомогательного персонала, работников, осуществляющих финансовую деятельность, охрану жизни и здоровья детей, необходимо рассматривать в полной мере как деятельность по обеспечению и реализации Программы. </w:t>
      </w:r>
      <w:hyperlink r:id="rId49" w:anchor="100009" w:history="1">
        <w:proofErr w:type="gramStart"/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Номенклатура</w:t>
        </w:r>
      </w:hyperlink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должностей руководящих, педагогических и учебно-вспомогательных работников утверждена постановлением Правительства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организаций", а также </w:t>
      </w:r>
      <w:hyperlink r:id="rId50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Минздравсоцразвития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  <w:proofErr w:type="gram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Таким образом,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Федерации, осуществляющие управление в сфере образования, и не может быть переложена на уровень муниципалитетов или родителей. То есть средства на оплату труда указанных категорий персонала должны быть заложены в региональные нормативы затрат. Финансовое обеспечение привлечения к реализации Программы научных работников </w:t>
      </w:r>
      <w:proofErr w:type="spell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остается</w:t>
      </w:r>
      <w:proofErr w:type="spell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 усмотрение субъекта Российской Федерации.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84"/>
      <w:bookmarkEnd w:id="83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 пунктом 4 </w:t>
      </w:r>
      <w:hyperlink r:id="rId51" w:anchor="100380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части 2</w:t>
        </w:r>
      </w:hyperlink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52" w:anchor="100381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3 статьи 28</w:t>
        </w:r>
      </w:hyperlink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Закона установление штатного расписания является компетенцией Организации. В то же время Организация должна исходить в первую очередь из задачи обеспечения требований Стандарта.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100085"/>
      <w:bookmarkEnd w:id="84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Для сопровождения реализации Программы на протяжении всего времени реализации (в большинстве случаев соответствующего продолжительности работы группы) в каждой группе должны находиться не менее двух работников, в том числе одного воспитателя (или другого педагогического работника) и помощника воспитателя (младшего воспитателя). Таким образом, дети в любой момент должны находиться с одним или несколькими работниками Организации, принимающими участие в реализации Программы (с педагогическим и/или учебно-вспомогательным работником). При </w:t>
      </w:r>
      <w:proofErr w:type="spell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расчете</w:t>
      </w:r>
      <w:proofErr w:type="spell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региональных нормативов финансирования необходимо учитывать особенности нагрузки на отдельные должности работников при работе в различных группах, в том числе в группах с различной направленностью Программ, а также особенности работы воспитателей в течение времени их совместного пребывания в Организации: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100086"/>
      <w:bookmarkEnd w:id="85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оформлении результатов наблюдения (мониторинга) за здоровьем, развитием и воспитанием детей, в том числе с помощью электронных форм;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100087"/>
      <w:bookmarkEnd w:id="86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разработке плана (программы) воспитательной работы;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" w:name="100088"/>
      <w:bookmarkEnd w:id="87"/>
      <w:proofErr w:type="gram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участии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и иных мероприятиях, предусмотренных должностной инструкцией.</w:t>
      </w:r>
      <w:proofErr w:type="gramEnd"/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" w:name="100089"/>
      <w:bookmarkEnd w:id="88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Необходимо также учитывать,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(например, инструкторы по физической культуре, музыкальные руководители, специалисты по художественному и эстетическому воспитанию, педагоги-психологи), а также должна осуществляться методическая поддержка реализации Программы. Для этого Организация самостоятельно устанавливает штатное расписание в </w:t>
      </w:r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пределах выделяемого финансирования. Таким образом, региональные нормативы затрат должны учитывать необходимость покрытия расходов Организации, связанных с привлечением всех категорий работников, предусмотренных </w:t>
      </w:r>
      <w:hyperlink r:id="rId53" w:anchor="100235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3.4.1</w:t>
        </w:r>
      </w:hyperlink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Стандарта.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" w:name="100090"/>
      <w:bookmarkEnd w:id="89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Комментарии к </w:t>
      </w:r>
      <w:hyperlink r:id="rId54" w:anchor="100240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разделу III пунктов 3.4.3</w:t>
        </w:r>
      </w:hyperlink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55" w:anchor="100241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3.4.4</w:t>
        </w:r>
      </w:hyperlink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" w:name="100091"/>
      <w:bookmarkEnd w:id="90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Педагогическими работниками, дополнительно привлекаемыми для обеспечения реализации Программы в группах для детей с ОВЗ (</w:t>
      </w:r>
      <w:hyperlink r:id="rId56" w:anchor="100240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3.4.3</w:t>
        </w:r>
      </w:hyperlink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Стандарта) и в общеразвивающих группах, в которых обучаются дети с ОВЗ (</w:t>
      </w:r>
      <w:hyperlink r:id="rId57" w:anchor="100240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3.4.3</w:t>
        </w:r>
      </w:hyperlink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Стандарта), являются учителя-дефектологи, учителя-логопеды, а также, в случае необходимости, социальные педагоги. Рекомендованное количество соответствующих педагогов в </w:t>
      </w:r>
      <w:proofErr w:type="spell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расчете</w:t>
      </w:r>
      <w:proofErr w:type="spell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 одну группу (для обоих случаев) составляет 1 ставку на группу.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" w:name="100092"/>
      <w:bookmarkEnd w:id="91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Комментарии к </w:t>
      </w:r>
      <w:hyperlink r:id="rId58" w:anchor="100253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разделу III пункта 3.6</w:t>
        </w:r>
      </w:hyperlink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" w:name="100093"/>
      <w:bookmarkEnd w:id="92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предметно-развивающей среде и обязательства муниципалитета по финансовому обеспечению организации реализации Программы в учреждениях. При этом подробное распределение региональных и местных обязательств разъясняется письмом Минобрнауки России от 1 октября 2013 г. N 08-1408.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" w:name="100094"/>
      <w:bookmarkEnd w:id="93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Комментарии к </w:t>
      </w:r>
      <w:hyperlink r:id="rId59" w:anchor="100267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разделу IV пункта 4.3</w:t>
        </w:r>
      </w:hyperlink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" w:name="100095"/>
      <w:bookmarkEnd w:id="94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Данная </w:t>
      </w:r>
      <w:hyperlink r:id="rId60" w:anchor="100267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</w:t>
        </w:r>
      </w:hyperlink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Стандарта в соответствии с положениями </w:t>
      </w:r>
      <w:hyperlink r:id="rId61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не допускает использование целевых ориентиров дошкольного образования для непосредственной оценки реальных достижений детей. Целевые ориентиры, представленные в </w:t>
      </w:r>
      <w:hyperlink r:id="rId62" w:anchor="100285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 4.6</w:t>
        </w:r>
      </w:hyperlink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Стандарта, отражают согласованные ожидания общества относительно дошкольного детства и представляют собой возрастной портрет ребенка, который не может быть непосредственно </w:t>
      </w:r>
      <w:proofErr w:type="spell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применен</w:t>
      </w:r>
      <w:proofErr w:type="spell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 </w:t>
      </w:r>
      <w:proofErr w:type="gram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отдельному</w:t>
      </w:r>
      <w:proofErr w:type="gram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ребенку.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" w:name="100096"/>
      <w:bookmarkEnd w:id="95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Комментарии к </w:t>
      </w:r>
      <w:hyperlink r:id="rId63" w:anchor="100279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разделу IV пункта 4.5</w:t>
        </w:r>
      </w:hyperlink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" w:name="100097"/>
      <w:bookmarkEnd w:id="96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 </w:t>
      </w:r>
      <w:hyperlink r:id="rId64" w:anchor="100279" w:history="1">
        <w:r w:rsidRPr="008D28A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</w:t>
        </w:r>
      </w:hyperlink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содержится запрет на использование целевых ориентиров для решения ряда управленческих задач. Основанием для такого запрета является характер целевых ориентиров, которые не предполагают </w:t>
      </w:r>
      <w:proofErr w:type="gram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контроля за</w:t>
      </w:r>
      <w:proofErr w:type="gram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достижением конкретных образовательных результатов детей. </w:t>
      </w:r>
      <w:proofErr w:type="gram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образовательной деятельностью в рамках реализации Программы в Организации осуществляется не за образовательными результатами детей, а за условиями </w:t>
      </w:r>
      <w:proofErr w:type="spell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ее</w:t>
      </w:r>
      <w:proofErr w:type="spell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реализации, которые и способствуют достижению детьми определенных образовательных результатов.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" w:name="100098"/>
      <w:bookmarkEnd w:id="97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Оценка выполнения муниципального (государственного) задания должна строиться на основании критериев, характеризующих создаваемые учреждением условия при реализации Программы. При </w:t>
      </w:r>
      <w:proofErr w:type="spellStart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расчете</w:t>
      </w:r>
      <w:proofErr w:type="spellEnd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критериев, используемых для оценки выполнения бюджетных заданий, запрещается использовать показатели, соотносимые с характеристиками воспитанников организации.</w:t>
      </w:r>
    </w:p>
    <w:p w:rsidR="008D28AE" w:rsidRPr="008D28AE" w:rsidRDefault="008D28AE" w:rsidP="008D28AE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" w:name="100099"/>
      <w:bookmarkEnd w:id="98"/>
      <w:r w:rsidRPr="008D28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Используемые в Организациях критерии для оценки эффективности деятельности отдельных работников должны быть построены на показателях, характеризующих создаваемые ими условия при реализации образовательной программы. Запрещается использовать показатели, соотносимые с характеристиками воспитанников Организации.</w:t>
      </w:r>
    </w:p>
    <w:p w:rsidR="008D28AE" w:rsidRPr="008D28AE" w:rsidRDefault="008D28AE" w:rsidP="008D28A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D28AE" w:rsidRDefault="008D28AE">
      <w:bookmarkStart w:id="99" w:name="_GoBack"/>
      <w:bookmarkEnd w:id="99"/>
    </w:p>
    <w:sectPr w:rsidR="008D28AE" w:rsidSect="008D28AE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4F"/>
    <w:rsid w:val="00561632"/>
    <w:rsid w:val="0060684F"/>
    <w:rsid w:val="008B2294"/>
    <w:rsid w:val="008D28AE"/>
    <w:rsid w:val="00C1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2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D2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28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8D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8D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28AE"/>
    <w:rPr>
      <w:color w:val="0000FF"/>
      <w:u w:val="single"/>
    </w:rPr>
  </w:style>
  <w:style w:type="paragraph" w:customStyle="1" w:styleId="pright">
    <w:name w:val="pright"/>
    <w:basedOn w:val="a"/>
    <w:rsid w:val="008D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2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D2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28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8D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8D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28AE"/>
    <w:rPr>
      <w:color w:val="0000FF"/>
      <w:u w:val="single"/>
    </w:rPr>
  </w:style>
  <w:style w:type="paragraph" w:customStyle="1" w:styleId="pright">
    <w:name w:val="pright"/>
    <w:basedOn w:val="a"/>
    <w:rsid w:val="008D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galacts.ru/doc/prikaz-minobrnauki-rossii-ot-30082013-n-1014/" TargetMode="External"/><Relationship Id="rId18" Type="http://schemas.openxmlformats.org/officeDocument/2006/relationships/hyperlink" Target="https://legalacts.ru/doc/prikaz-minobrnauki-rossii-ot-17102013-n-1155/" TargetMode="External"/><Relationship Id="rId26" Type="http://schemas.openxmlformats.org/officeDocument/2006/relationships/hyperlink" Target="https://legalacts.ru/doc/prikaz-minobrnauki-rossii-ot-17102013-n-1155/" TargetMode="External"/><Relationship Id="rId39" Type="http://schemas.openxmlformats.org/officeDocument/2006/relationships/hyperlink" Target="https://legalacts.ru/doc/prikaz-minobrnauki-rossii-ot-17102013-n-1155/" TargetMode="External"/><Relationship Id="rId21" Type="http://schemas.openxmlformats.org/officeDocument/2006/relationships/hyperlink" Target="https://legalacts.ru/doc/prikaz-minobrnauki-rossii-ot-17102013-n-1155/" TargetMode="External"/><Relationship Id="rId34" Type="http://schemas.openxmlformats.org/officeDocument/2006/relationships/hyperlink" Target="https://legalacts.ru/doc/federalnyi-zakon-ot-24111995-n-181-fz-o/" TargetMode="External"/><Relationship Id="rId42" Type="http://schemas.openxmlformats.org/officeDocument/2006/relationships/hyperlink" Target="https://legalacts.ru/doc/273_FZ-ob-obrazovanii/glava-13/statja-99/" TargetMode="External"/><Relationship Id="rId47" Type="http://schemas.openxmlformats.org/officeDocument/2006/relationships/hyperlink" Target="https://legalacts.ru/doc/prikaz-minobrnauki-rossii-ot-17102013-n-1155/" TargetMode="External"/><Relationship Id="rId50" Type="http://schemas.openxmlformats.org/officeDocument/2006/relationships/hyperlink" Target="https://legalacts.ru/doc/prikaz-minzdravsotsrazvitija-rf-ot-26082010-n-761n/" TargetMode="External"/><Relationship Id="rId55" Type="http://schemas.openxmlformats.org/officeDocument/2006/relationships/hyperlink" Target="https://legalacts.ru/doc/prikaz-minobrnauki-rossii-ot-17102013-n-1155/" TargetMode="External"/><Relationship Id="rId63" Type="http://schemas.openxmlformats.org/officeDocument/2006/relationships/hyperlink" Target="https://legalacts.ru/doc/prikaz-minobrnauki-rossii-ot-17102013-n-1155/" TargetMode="External"/><Relationship Id="rId7" Type="http://schemas.openxmlformats.org/officeDocument/2006/relationships/hyperlink" Target="https://legalacts.ru/doc/prikaz-minobrnauki-rossii-ot-17102013-n-115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egalacts.ru/doc/prikaz-minobrnauki-rossii-ot-17102013-n-1155/" TargetMode="External"/><Relationship Id="rId20" Type="http://schemas.openxmlformats.org/officeDocument/2006/relationships/hyperlink" Target="https://legalacts.ru/doc/273_FZ-ob-obrazovanii/glava-2/statja-12/" TargetMode="External"/><Relationship Id="rId29" Type="http://schemas.openxmlformats.org/officeDocument/2006/relationships/hyperlink" Target="https://legalacts.ru/doc/prikaz-minobrnauki-rossii-ot-17102013-n-1155/" TargetMode="External"/><Relationship Id="rId41" Type="http://schemas.openxmlformats.org/officeDocument/2006/relationships/hyperlink" Target="https://legalacts.ru/doc/prikaz-minobrnauki-rossii-ot-17102013-n-1155/" TargetMode="External"/><Relationship Id="rId54" Type="http://schemas.openxmlformats.org/officeDocument/2006/relationships/hyperlink" Target="https://legalacts.ru/doc/prikaz-minobrnauki-rossii-ot-17102013-n-1155/" TargetMode="External"/><Relationship Id="rId62" Type="http://schemas.openxmlformats.org/officeDocument/2006/relationships/hyperlink" Target="https://legalacts.ru/doc/prikaz-minobrnauki-rossii-ot-17102013-n-1155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pismo-minobrnauki-rossii-ot-28022014-n-08-249/" TargetMode="External"/><Relationship Id="rId11" Type="http://schemas.openxmlformats.org/officeDocument/2006/relationships/hyperlink" Target="https://legalacts.ru/doc/prikaz-minobrnauki-rossii-ot-17102013-n-1155/" TargetMode="External"/><Relationship Id="rId24" Type="http://schemas.openxmlformats.org/officeDocument/2006/relationships/hyperlink" Target="https://legalacts.ru/doc/prikaz-minobrnauki-rossii-ot-17102013-n-1155/" TargetMode="External"/><Relationship Id="rId32" Type="http://schemas.openxmlformats.org/officeDocument/2006/relationships/hyperlink" Target="https://legalacts.ru/doc/prikaz-minobrnauki-rossii-ot-17102013-n-1155/" TargetMode="External"/><Relationship Id="rId37" Type="http://schemas.openxmlformats.org/officeDocument/2006/relationships/hyperlink" Target="https://legalacts.ru/doc/prikaz-minobrnauki-rossii-ot-17102013-n-1155/" TargetMode="External"/><Relationship Id="rId40" Type="http://schemas.openxmlformats.org/officeDocument/2006/relationships/hyperlink" Target="https://legalacts.ru/doc/postanovlenie-glavnogo-gosudarstvennogo-sanitarnogo-vracha-rf-ot-15052013-n/" TargetMode="External"/><Relationship Id="rId45" Type="http://schemas.openxmlformats.org/officeDocument/2006/relationships/hyperlink" Target="https://legalacts.ru/doc/prikaz-minobrnauki-rossii-ot-17102013-n-1155/" TargetMode="External"/><Relationship Id="rId53" Type="http://schemas.openxmlformats.org/officeDocument/2006/relationships/hyperlink" Target="https://legalacts.ru/doc/prikaz-minobrnauki-rossii-ot-17102013-n-1155/" TargetMode="External"/><Relationship Id="rId58" Type="http://schemas.openxmlformats.org/officeDocument/2006/relationships/hyperlink" Target="https://legalacts.ru/doc/prikaz-minobrnauki-rossii-ot-17102013-n-1155/" TargetMode="External"/><Relationship Id="rId66" Type="http://schemas.openxmlformats.org/officeDocument/2006/relationships/theme" Target="theme/theme1.xml"/><Relationship Id="rId5" Type="http://schemas.openxmlformats.org/officeDocument/2006/relationships/hyperlink" Target="exp:439765:100051" TargetMode="External"/><Relationship Id="rId15" Type="http://schemas.openxmlformats.org/officeDocument/2006/relationships/hyperlink" Target="https://legalacts.ru/doc/prikaz-minobrnauki-rossii-ot-17102013-n-1155/" TargetMode="External"/><Relationship Id="rId23" Type="http://schemas.openxmlformats.org/officeDocument/2006/relationships/hyperlink" Target="https://legalacts.ru/doc/prikaz-minobrnauki-rossii-ot-13012014-n-8/" TargetMode="External"/><Relationship Id="rId28" Type="http://schemas.openxmlformats.org/officeDocument/2006/relationships/hyperlink" Target="https://legalacts.ru/doc/prikaz-minobrnauki-rossii-ot-17102013-n-1155/" TargetMode="External"/><Relationship Id="rId36" Type="http://schemas.openxmlformats.org/officeDocument/2006/relationships/hyperlink" Target="https://legalacts.ru/doc/prikaz-minobrnauki-rossii-ot-17102013-n-1155/" TargetMode="External"/><Relationship Id="rId49" Type="http://schemas.openxmlformats.org/officeDocument/2006/relationships/hyperlink" Target="https://legalacts.ru/doc/postanovlenie-pravitelstva-rf-ot-08082013-n-678/" TargetMode="External"/><Relationship Id="rId57" Type="http://schemas.openxmlformats.org/officeDocument/2006/relationships/hyperlink" Target="https://legalacts.ru/doc/prikaz-minobrnauki-rossii-ot-17102013-n-1155/" TargetMode="External"/><Relationship Id="rId61" Type="http://schemas.openxmlformats.org/officeDocument/2006/relationships/hyperlink" Target="https://legalacts.ru/doc/273_FZ-ob-obrazovanii/" TargetMode="External"/><Relationship Id="rId10" Type="http://schemas.openxmlformats.org/officeDocument/2006/relationships/hyperlink" Target="https://legalacts.ru/doc/prikaz-minobrnauki-rossii-ot-17102013-n-1155/" TargetMode="External"/><Relationship Id="rId19" Type="http://schemas.openxmlformats.org/officeDocument/2006/relationships/hyperlink" Target="https://legalacts.ru/doc/prikaz-minobrnauki-rossii-ot-17102013-n-1155/" TargetMode="External"/><Relationship Id="rId31" Type="http://schemas.openxmlformats.org/officeDocument/2006/relationships/hyperlink" Target="https://legalacts.ru/doc/prikaz-minobrnauki-rossii-ot-17102013-n-1155/" TargetMode="External"/><Relationship Id="rId44" Type="http://schemas.openxmlformats.org/officeDocument/2006/relationships/hyperlink" Target="https://legalacts.ru/doc/273_FZ-ob-obrazovanii/glava-11/statja-79/" TargetMode="External"/><Relationship Id="rId52" Type="http://schemas.openxmlformats.org/officeDocument/2006/relationships/hyperlink" Target="https://legalacts.ru/doc/273_FZ-ob-obrazovanii/glava-3/statja-28/" TargetMode="External"/><Relationship Id="rId60" Type="http://schemas.openxmlformats.org/officeDocument/2006/relationships/hyperlink" Target="https://legalacts.ru/doc/prikaz-minobrnauki-rossii-ot-17102013-n-1155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prikaz-minobrnauki-rossii-ot-17102013-n-1155/" TargetMode="External"/><Relationship Id="rId14" Type="http://schemas.openxmlformats.org/officeDocument/2006/relationships/hyperlink" Target="https://legalacts.ru/doc/273_FZ-ob-obrazovanii/glava-1/statja-2/" TargetMode="External"/><Relationship Id="rId22" Type="http://schemas.openxmlformats.org/officeDocument/2006/relationships/hyperlink" Target="https://legalacts.ru/doc/273_FZ-ob-obrazovanii/glava-2/statja-12/" TargetMode="External"/><Relationship Id="rId27" Type="http://schemas.openxmlformats.org/officeDocument/2006/relationships/hyperlink" Target="https://legalacts.ru/doc/prikaz-minobrnauki-rossii-ot-17102013-n-1155/" TargetMode="External"/><Relationship Id="rId30" Type="http://schemas.openxmlformats.org/officeDocument/2006/relationships/hyperlink" Target="https://legalacts.ru/doc/prikaz-minobrnauki-rossii-ot-17102013-n-1155/" TargetMode="External"/><Relationship Id="rId35" Type="http://schemas.openxmlformats.org/officeDocument/2006/relationships/hyperlink" Target="https://legalacts.ru/doc/prikaz-minobrnauki-rossii-ot-17102013-n-1155/" TargetMode="External"/><Relationship Id="rId43" Type="http://schemas.openxmlformats.org/officeDocument/2006/relationships/hyperlink" Target="https://legalacts.ru/doc/prikaz-minobrnauki-rossii-ot-17102013-n-1155/" TargetMode="External"/><Relationship Id="rId48" Type="http://schemas.openxmlformats.org/officeDocument/2006/relationships/hyperlink" Target="https://legalacts.ru/doc/prikaz-minobrnauki-rossii-ot-17102013-n-1155/" TargetMode="External"/><Relationship Id="rId56" Type="http://schemas.openxmlformats.org/officeDocument/2006/relationships/hyperlink" Target="https://legalacts.ru/doc/prikaz-minobrnauki-rossii-ot-17102013-n-1155/" TargetMode="External"/><Relationship Id="rId64" Type="http://schemas.openxmlformats.org/officeDocument/2006/relationships/hyperlink" Target="https://legalacts.ru/doc/prikaz-minobrnauki-rossii-ot-17102013-n-1155/" TargetMode="External"/><Relationship Id="rId8" Type="http://schemas.openxmlformats.org/officeDocument/2006/relationships/hyperlink" Target="https://legalacts.ru/doc/pismo-minobrnauki-rossii-ot-28022014-n-08-249/" TargetMode="External"/><Relationship Id="rId51" Type="http://schemas.openxmlformats.org/officeDocument/2006/relationships/hyperlink" Target="https://legalacts.ru/doc/273_FZ-ob-obrazovanii/glava-3/statja-2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egalacts.ru/doc/prikaz-minobrnauki-rossii-ot-17102013-n-1155/" TargetMode="External"/><Relationship Id="rId17" Type="http://schemas.openxmlformats.org/officeDocument/2006/relationships/hyperlink" Target="https://legalacts.ru/doc/prikaz-minobrnauki-rossii-ot-17102013-n-1155/" TargetMode="External"/><Relationship Id="rId25" Type="http://schemas.openxmlformats.org/officeDocument/2006/relationships/hyperlink" Target="https://legalacts.ru/doc/prikaz-minobrnauki-rossii-ot-17102013-n-1155/" TargetMode="External"/><Relationship Id="rId33" Type="http://schemas.openxmlformats.org/officeDocument/2006/relationships/hyperlink" Target="https://legalacts.ru/doc/273_FZ-ob-obrazovanii/glava-11/statja-79/" TargetMode="External"/><Relationship Id="rId38" Type="http://schemas.openxmlformats.org/officeDocument/2006/relationships/hyperlink" Target="https://legalacts.ru/doc/273_FZ-ob-obrazovanii/glava-12/statja-95/" TargetMode="External"/><Relationship Id="rId46" Type="http://schemas.openxmlformats.org/officeDocument/2006/relationships/hyperlink" Target="https://legalacts.ru/doc/273_FZ-ob-obrazovanii/glava-3/statja-28/" TargetMode="External"/><Relationship Id="rId59" Type="http://schemas.openxmlformats.org/officeDocument/2006/relationships/hyperlink" Target="https://legalacts.ru/doc/prikaz-minobrnauki-rossii-ot-17102013-n-11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5643</Words>
  <Characters>32169</Characters>
  <Application>Microsoft Office Word</Application>
  <DocSecurity>0</DocSecurity>
  <Lines>268</Lines>
  <Paragraphs>75</Paragraphs>
  <ScaleCrop>false</ScaleCrop>
  <Company>SPecialiST RePack</Company>
  <LinksUpToDate>false</LinksUpToDate>
  <CharactersWithSpaces>37737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</dc:creator>
  <cp:keywords/>
  <dc:description/>
  <cp:lastModifiedBy>VALA</cp:lastModifiedBy>
  <cp:revision>3</cp:revision>
  <dcterms:created xsi:type="dcterms:W3CDTF">2019-05-27T12:40:00Z</dcterms:created>
  <dcterms:modified xsi:type="dcterms:W3CDTF">2019-05-27T12:42:00Z</dcterms:modified>
</cp:coreProperties>
</file>